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0C35B">
      <w:pPr>
        <w:pStyle w:val="2"/>
      </w:pPr>
      <w:r>
        <w:t>第2课时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电表的改装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电流表的内接法和外接法</w:t>
      </w:r>
    </w:p>
    <w:p w14:paraId="432D98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 w:eastAsia="黑体"/>
        </w:rPr>
        <w:t>学习目标</w:t>
      </w:r>
      <w:r>
        <w:rPr>
          <w:rFonts w:ascii="Times New Roman" w:hAnsi="Times New Roman"/>
        </w:rPr>
        <w:t>]　1.</w:t>
      </w:r>
      <w:r>
        <w:rPr>
          <w:rFonts w:ascii="Times New Roman" w:hAnsi="Times New Roman" w:eastAsia="新宋体"/>
        </w:rPr>
        <w:t>理解将小量程电流表改装成大量程电流表和电压表的原理，并能进行有关计算(重难点)。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理解电流表的内接法和外接法，并能正确选择接法(重难点)。</w:t>
      </w:r>
    </w:p>
    <w:p w14:paraId="061D10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一、电表的改装</w:t>
      </w:r>
    </w:p>
    <w:p w14:paraId="292AA5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1.小量程电流表G(表头)的三个参量</w:t>
      </w:r>
    </w:p>
    <w:p w14:paraId="07E64C1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698115" cy="1150620"/>
            <wp:effectExtent l="0" t="0" r="6985" b="0"/>
            <wp:docPr id="972" name="image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image45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042A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2.电表改装原理</w:t>
      </w:r>
    </w:p>
    <w:p w14:paraId="02C2D7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(1)电压表改装：将表头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一个较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电阻，该电阻常被叫作分压电阻，如图甲所示。 </w:t>
      </w:r>
    </w:p>
    <w:p w14:paraId="7EA91BA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482215" cy="537845"/>
            <wp:effectExtent l="0" t="0" r="0" b="0"/>
            <wp:docPr id="973" name="image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image45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020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(2)电流表改装：将表头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一个较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电阻，该电阻常被叫作分流电阻，如图乙所示。 </w:t>
      </w:r>
    </w:p>
    <w:p w14:paraId="0FF6F3B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376170" cy="758825"/>
            <wp:effectExtent l="0" t="0" r="5080" b="3175"/>
            <wp:docPr id="974" name="image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" name="image46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5F8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75" name="image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image46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76" name="image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" name="image46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有一电流表G，内阻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=10 Ω，满偏电流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=3 mA。</w:t>
      </w:r>
    </w:p>
    <w:p w14:paraId="24E5D6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(1)要把它改装成量程为0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V的电压表，应串联一个多大的电阻？改装后电压表的内阻是多大？</w:t>
      </w:r>
    </w:p>
    <w:p w14:paraId="5F5EDB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(2)要把它改装成量程为0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0.6 A的电流表，需要并联一个多大的电阻？改装后电流表的内阻是多大？</w:t>
      </w:r>
    </w:p>
    <w:p w14:paraId="02940A0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440A7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31CC84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9E6DFB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72ECCF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C7439D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96FB05D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9555" cy="243205"/>
            <wp:effectExtent l="0" t="0" r="4445" b="4445"/>
            <wp:docPr id="2275" name="图片 2275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" name="图片 2275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787"/>
        <w:gridCol w:w="2984"/>
      </w:tblGrid>
      <w:tr w14:paraId="3D8A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A7389BF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项目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E5198A9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改装成电压表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84872E8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改装成电流表</w:t>
            </w:r>
          </w:p>
        </w:tc>
      </w:tr>
      <w:tr w14:paraId="533C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8CF68A5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内部电路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78AEDDC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18185" cy="1045210"/>
                  <wp:effectExtent l="0" t="0" r="5715" b="2540"/>
                  <wp:docPr id="7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3E05E4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89305" cy="974090"/>
                  <wp:effectExtent l="0" t="0" r="0" b="0"/>
                  <wp:docPr id="7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22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84C4068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改装原理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E395067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串联分压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216939F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并联分流</w:t>
            </w:r>
          </w:p>
        </w:tc>
      </w:tr>
      <w:tr w14:paraId="48690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689290B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改装后的量程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C899604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bscript"/>
              </w:rPr>
              <w:t>g</w:t>
            </w:r>
            <w:r>
              <w:rPr>
                <w:rFonts w:ascii="Times New Roman" w:hAnsi="Times New Roman" w:eastAsia="方正楷体_GBK"/>
              </w:rPr>
              <w:t>(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g</w:t>
            </w:r>
            <w:r>
              <w:rPr>
                <w:rFonts w:ascii="Times New Roman" w:hAnsi="Times New Roman" w:eastAsia="方正楷体_GBK"/>
              </w:rPr>
              <w:t>)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3A45BB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bscript"/>
              </w:rPr>
              <w:t>g</w:t>
            </w:r>
          </w:p>
        </w:tc>
      </w:tr>
      <w:tr w14:paraId="196E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81FF8F7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量程扩大的倍数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747C225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n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D6A5FC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n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I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  <w:tr w14:paraId="6D9B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4F291ED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接入电阻的阻值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FAC0912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g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 w:eastAsia="方正楷体_GBK"/>
              </w:rPr>
              <w:t>(</w:t>
            </w:r>
            <w:r>
              <w:rPr>
                <w:rFonts w:ascii="Times New Roman" w:hAnsi="Times New Roman"/>
                <w:i/>
              </w:rPr>
              <w:t>n</w:t>
            </w:r>
            <w:r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 w:eastAsia="方正楷体_GBK"/>
              </w:rPr>
              <w:t>)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g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861D98B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−1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  <w:tr w14:paraId="09404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21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8CEAD78">
            <w:pPr>
              <w:snapToGrid w:val="0"/>
              <w:spacing w:line="360" w:lineRule="auto"/>
              <w:jc w:val="center"/>
              <w:rPr>
                <w:rFonts w:ascii="Times New Roman" w:hAnsi="Times New Roman" w:eastAsia="方正楷体_GBK"/>
              </w:rPr>
            </w:pPr>
            <w:r>
              <w:rPr>
                <w:rFonts w:ascii="Times New Roman" w:hAnsi="Times New Roman" w:eastAsia="方正楷体_GBK"/>
              </w:rPr>
              <w:t>改装后的总内阻</w:t>
            </w:r>
          </w:p>
        </w:tc>
        <w:tc>
          <w:tcPr>
            <w:tcW w:w="278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05D801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V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g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nR</w:t>
            </w:r>
            <w:r>
              <w:rPr>
                <w:rFonts w:ascii="Times New Roman" w:hAnsi="Times New Roman"/>
                <w:vertAlign w:val="subscript"/>
              </w:rPr>
              <w:t>g</w:t>
            </w:r>
          </w:p>
        </w:tc>
        <w:tc>
          <w:tcPr>
            <w:tcW w:w="29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FF58D59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A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n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</w:tbl>
    <w:p w14:paraId="74D9AF6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7324BF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针对训练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呼和浩特市高二期末)</w:t>
      </w:r>
      <w:r>
        <w:rPr>
          <w:rFonts w:ascii="Times New Roman" w:hAnsi="Times New Roman"/>
          <w:w w:val="104"/>
        </w:rPr>
        <w:t>如图所示，将一个电流计G和一个电阻串联可以改装成电压表，将一个电流计G和一个电阻并联可以改装成电流表，要使它们的量程增大，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应如何变化(　　)</w:t>
      </w:r>
    </w:p>
    <w:p w14:paraId="6CCA014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92705" cy="974725"/>
            <wp:effectExtent l="0" t="0" r="0" b="0"/>
            <wp:docPr id="978" name="image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" name="image46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7C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增大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减小</w:t>
      </w:r>
    </w:p>
    <w:p w14:paraId="2B7A65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减小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增大</w:t>
      </w:r>
    </w:p>
    <w:p w14:paraId="040648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79" name="image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image46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80" name="image4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" name="image46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成都市外国语学校高二月考)</w:t>
      </w:r>
      <w:r>
        <w:rPr>
          <w:rFonts w:ascii="Times New Roman" w:hAnsi="Times New Roman"/>
          <w:w w:val="104"/>
        </w:rPr>
        <w:t>某同学要将一小量程电流表(满偏电流为250 μA，内阻为10 Ω)改装成有两个量程的电流表，设计电路如图所示，其中定值电阻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=6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=4 Ω。</w:t>
      </w:r>
    </w:p>
    <w:p w14:paraId="0FB92DE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1080135"/>
            <wp:effectExtent l="0" t="0" r="5715" b="5715"/>
            <wp:docPr id="981" name="image4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" name="image4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AD20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(1)当开关S接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端时，该电流表的量程为0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mA。 </w:t>
      </w:r>
    </w:p>
    <w:p w14:paraId="352C532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(2)当开关S接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端时，该电流表的量程为0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mA。 </w:t>
      </w:r>
    </w:p>
    <w:p w14:paraId="5FCF0D62">
      <w:pPr>
        <w:snapToGrid w:val="0"/>
        <w:spacing w:line="360" w:lineRule="auto"/>
      </w:pPr>
      <w:r>
        <w:drawing>
          <wp:inline distT="0" distB="0" distL="0" distR="0">
            <wp:extent cx="5329555" cy="243205"/>
            <wp:effectExtent l="0" t="0" r="4445" b="4445"/>
            <wp:docPr id="2276" name="图片 2276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" name="图片 2276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0DD77">
      <w:pPr>
        <w:pStyle w:val="23"/>
        <w:snapToGrid w:val="0"/>
        <w:spacing w:line="360" w:lineRule="auto"/>
        <w:jc w:val="center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关于电表改装的四点提醒</w:t>
      </w:r>
    </w:p>
    <w:p w14:paraId="6AE87040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 w:eastAsia="方正楷体_GBK"/>
        </w:rPr>
        <w:t>电表改装的问题实际上是串、并联电路中电流、电压的计算问题，只要把表头看成一个电阻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 w:eastAsia="方正楷体_GBK"/>
        </w:rPr>
        <w:t>即可。</w:t>
      </w:r>
    </w:p>
    <w:p w14:paraId="515EEC4E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 w:eastAsia="方正楷体_GBK"/>
        </w:rPr>
        <w:t>无论表头改装成电压表还是电流表，它的三个参量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 w:eastAsia="方正楷体_GBK"/>
        </w:rPr>
        <w:t>、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 w:eastAsia="方正楷体_GBK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 w:eastAsia="方正楷体_GBK"/>
        </w:rPr>
        <w:t>是不变的，即通过表头的最大电流并不改变。</w:t>
      </w:r>
    </w:p>
    <w:p w14:paraId="1BF3DE6C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 w:eastAsia="方正楷体_GBK"/>
        </w:rPr>
        <w:t>由改装后电压表的内阻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V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方正楷体_GBK"/>
          <w:vertAlign w:val="subscript"/>
        </w:rPr>
        <w:t>串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nR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 w:eastAsia="方正楷体_GBK"/>
        </w:rPr>
        <w:t>(其中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方正楷体_GBK"/>
        </w:rPr>
        <w:t>)可知，电压表量程越大，其分压电阻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方正楷体_GBK"/>
          <w:vertAlign w:val="subscript"/>
        </w:rPr>
        <w:t>串</w:t>
      </w:r>
      <w:r>
        <w:rPr>
          <w:rFonts w:ascii="Times New Roman" w:hAnsi="Times New Roman" w:eastAsia="方正楷体_GBK"/>
        </w:rPr>
        <w:t>越大，电压表内阻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V</w:t>
      </w:r>
      <w:r>
        <w:rPr>
          <w:rFonts w:ascii="Times New Roman" w:hAnsi="Times New Roman" w:eastAsia="方正楷体_GBK"/>
        </w:rPr>
        <w:t>越大。</w:t>
      </w:r>
    </w:p>
    <w:p w14:paraId="0EF63751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 w:eastAsia="方正楷体_GBK"/>
        </w:rPr>
        <w:t>由改装后电流表的内阻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A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 w:eastAsia="方正楷体_GBK"/>
                <w:kern w:val="2"/>
              </w:rPr>
            </m:ctrlPr>
          </m:fPr>
          <m:num>
            <m:sSub>
              <m:sSubPr>
                <m:ctrlPr>
                  <w:rPr>
                    <w:rFonts w:ascii="Cambria Math" w:hAnsi="Cambria Math" w:eastAsia="方正楷体_GBK"/>
                    <w:kern w:val="2"/>
                  </w:rPr>
                </m:ctrlPr>
              </m:sSubPr>
              <m:e>
                <m:r>
                  <m:rPr/>
                  <w:rPr>
                    <w:rFonts w:ascii="Cambria Math" w:hAnsi="Cambria Math" w:eastAsia="方正楷体_GBK"/>
                    <w:kern w:val="2"/>
                  </w:rPr>
                  <m:t>R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eastAsia="方正楷体_GBK"/>
                    <w:kern w:val="2"/>
                  </w:rPr>
                  <m:t>并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sub>
            </m:sSub>
            <m:sSub>
              <m:sSubPr>
                <m:ctrlPr>
                  <w:rPr>
                    <w:rFonts w:ascii="Cambria Math" w:hAnsi="Cambria Math" w:eastAsia="方正楷体_GBK"/>
                    <w:kern w:val="2"/>
                  </w:rPr>
                </m:ctrlPr>
              </m:sSubPr>
              <m:e>
                <m:r>
                  <m:rPr/>
                  <w:rPr>
                    <w:rFonts w:ascii="Cambria Math" w:hAnsi="Cambria Math" w:eastAsia="方正楷体_GBK"/>
                    <w:kern w:val="2"/>
                  </w:rPr>
                  <m:t>R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eastAsia="方正楷体_GBK"/>
                    <w:kern w:val="2"/>
                  </w:rPr>
                  <m:t>g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sub>
            </m:sSub>
            <m:ctrlPr>
              <w:rPr>
                <w:rFonts w:ascii="Cambria Math" w:hAnsi="Cambria Math" w:eastAsia="方正楷体_GBK"/>
                <w:kern w:val="2"/>
              </w:rPr>
            </m:ctrlPr>
          </m:num>
          <m:den>
            <m:sSub>
              <m:sSubPr>
                <m:ctrlPr>
                  <w:rPr>
                    <w:rFonts w:ascii="Cambria Math" w:hAnsi="Cambria Math" w:eastAsia="方正楷体_GBK"/>
                    <w:kern w:val="2"/>
                  </w:rPr>
                </m:ctrlPr>
              </m:sSubPr>
              <m:e>
                <m:r>
                  <m:rPr/>
                  <w:rPr>
                    <w:rFonts w:ascii="Cambria Math" w:hAnsi="Cambria Math" w:eastAsia="方正楷体_GBK"/>
                    <w:kern w:val="2"/>
                  </w:rPr>
                  <m:t>R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eastAsia="方正楷体_GBK"/>
                    <w:kern w:val="2"/>
                  </w:rPr>
                  <m:t>并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eastAsia="方正楷体_GBK"/>
                <w:kern w:val="2"/>
              </w:rPr>
              <m:t>+</m:t>
            </m:r>
            <m:sSub>
              <m:sSubPr>
                <m:ctrlPr>
                  <w:rPr>
                    <w:rFonts w:ascii="Cambria Math" w:hAnsi="Cambria Math" w:eastAsia="方正楷体_GBK"/>
                    <w:kern w:val="2"/>
                  </w:rPr>
                </m:ctrlPr>
              </m:sSubPr>
              <m:e>
                <m:r>
                  <m:rPr/>
                  <w:rPr>
                    <w:rFonts w:ascii="Cambria Math" w:hAnsi="Cambria Math" w:eastAsia="方正楷体_GBK"/>
                    <w:kern w:val="2"/>
                  </w:rPr>
                  <m:t>R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eastAsia="方正楷体_GBK"/>
                    <w:kern w:val="2"/>
                  </w:rPr>
                  <m:t>g</m:t>
                </m:r>
                <m:ctrlPr>
                  <w:rPr>
                    <w:rFonts w:ascii="Cambria Math" w:hAnsi="Cambria Math" w:eastAsia="方正楷体_GBK"/>
                    <w:kern w:val="2"/>
                  </w:rPr>
                </m:ctrlPr>
              </m:sub>
            </m:sSub>
            <m:ctrlPr>
              <w:rPr>
                <w:rFonts w:ascii="Cambria Math" w:hAnsi="Cambria Math" w:eastAsia="方正楷体_GBK"/>
                <w:kern w:val="2"/>
              </w:rPr>
            </m:ctrlP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 w:eastAsia="方正楷体_GBK"/>
          </w:rPr>
          <m:t>(其中</m:t>
        </m:r>
        <m:r>
          <m:rPr/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方正楷体_GBK"/>
        </w:rPr>
        <w:t>)可知，电流表的量程越大，其分流电阻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 w:eastAsia="方正楷体_GBK"/>
          <w:vertAlign w:val="subscript"/>
        </w:rPr>
        <w:t>并</w:t>
      </w:r>
      <w:r>
        <w:rPr>
          <w:rFonts w:ascii="Times New Roman" w:hAnsi="Times New Roman" w:eastAsia="方正楷体_GBK"/>
        </w:rPr>
        <w:t>越小，电流表的内阻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A</w:t>
      </w:r>
      <w:r>
        <w:rPr>
          <w:rFonts w:ascii="Times New Roman" w:hAnsi="Times New Roman" w:eastAsia="方正楷体_GBK"/>
        </w:rPr>
        <w:t>越小。</w:t>
      </w:r>
    </w:p>
    <w:p w14:paraId="06EC18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4695D5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二、伏安法测电阻的两种接法</w:t>
      </w:r>
    </w:p>
    <w:p w14:paraId="15237E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两种接法的比较</w:t>
      </w:r>
    </w:p>
    <w:tbl>
      <w:tblPr>
        <w:tblStyle w:val="8"/>
        <w:tblW w:w="0" w:type="auto"/>
        <w:jc w:val="center"/>
        <w:tblBorders>
          <w:top w:val="single" w:color="404040" w:sz="2" w:space="0"/>
          <w:left w:val="single" w:color="404040" w:sz="2" w:space="0"/>
          <w:bottom w:val="single" w:color="404040" w:sz="2" w:space="0"/>
          <w:right w:val="single" w:color="40404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3262"/>
        <w:gridCol w:w="3118"/>
      </w:tblGrid>
      <w:tr w14:paraId="577776E4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54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  <w:tl2br w:val="single" w:color="40404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69B0078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CA92E3B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内接法</w:t>
            </w:r>
          </w:p>
        </w:tc>
        <w:tc>
          <w:tcPr>
            <w:tcW w:w="311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9D18EF7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外接法</w:t>
            </w:r>
          </w:p>
        </w:tc>
      </w:tr>
      <w:tr w14:paraId="17C354DB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54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5F91AB4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电路</w:t>
            </w:r>
          </w:p>
        </w:tc>
        <w:tc>
          <w:tcPr>
            <w:tcW w:w="3262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94023AF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827405" cy="539115"/>
                  <wp:effectExtent l="0" t="0" r="0" b="0"/>
                  <wp:docPr id="2060" name="image4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image4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0FEFE4B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827405" cy="539115"/>
                  <wp:effectExtent l="0" t="0" r="0" b="0"/>
                  <wp:docPr id="2061" name="image4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image4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4B5C1B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554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7DFBC10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误差来源</w:t>
            </w:r>
          </w:p>
        </w:tc>
        <w:tc>
          <w:tcPr>
            <w:tcW w:w="3262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EB66D56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电流表的分压作用</w:t>
            </w:r>
          </w:p>
        </w:tc>
        <w:tc>
          <w:tcPr>
            <w:tcW w:w="311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00CD7841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电压表的分流作用</w:t>
            </w:r>
          </w:p>
        </w:tc>
      </w:tr>
      <w:tr w14:paraId="6A61989A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554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DE90867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误差分析</w:t>
            </w:r>
          </w:p>
        </w:tc>
        <w:tc>
          <w:tcPr>
            <w:tcW w:w="3262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397232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测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i/>
                <w:vertAlign w:val="subscript"/>
              </w:rPr>
              <w:t>x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A</w:t>
            </w:r>
            <w:r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i/>
                <w:vertAlign w:val="subscript"/>
              </w:rPr>
              <w:t>x</w:t>
            </w:r>
          </w:p>
        </w:tc>
        <w:tc>
          <w:tcPr>
            <w:tcW w:w="311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390789A5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测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测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i/>
                <w:vertAlign w:val="subscript"/>
              </w:rPr>
              <w:t>x</w:t>
            </w:r>
          </w:p>
        </w:tc>
      </w:tr>
      <w:tr w14:paraId="57386B46">
        <w:tblPrEx>
          <w:tblBorders>
            <w:top w:val="single" w:color="404040" w:sz="2" w:space="0"/>
            <w:left w:val="single" w:color="404040" w:sz="2" w:space="0"/>
            <w:bottom w:val="single" w:color="404040" w:sz="2" w:space="0"/>
            <w:right w:val="single" w:color="40404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554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38F708B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适用情况</w:t>
            </w:r>
          </w:p>
        </w:tc>
        <w:tc>
          <w:tcPr>
            <w:tcW w:w="3262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C4899B2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测大电阻</w:t>
            </w:r>
          </w:p>
        </w:tc>
        <w:tc>
          <w:tcPr>
            <w:tcW w:w="3118" w:type="dxa"/>
            <w:tcBorders>
              <w:top w:val="single" w:color="404040" w:sz="2" w:space="0"/>
              <w:left w:val="single" w:color="404040" w:sz="2" w:space="0"/>
              <w:bottom w:val="single" w:color="404040" w:sz="2" w:space="0"/>
              <w:right w:val="single" w:color="40404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6290A53E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测小电阻</w:t>
            </w:r>
          </w:p>
        </w:tc>
      </w:tr>
    </w:tbl>
    <w:p w14:paraId="524289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</w:p>
    <w:p w14:paraId="1B8074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93" name="image4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image46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94" name="image4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image47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如图所示，甲、乙为伏安法测量电阻时的两种不同接法。所用的电压表内阻约为5 000 Ω，电流表内阻约为0.5 Ω。现有一阻值约为500 Ω的待测电阻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，采用不同电路比较(　　)</w:t>
      </w:r>
    </w:p>
    <w:p w14:paraId="79A83AB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60270" cy="612775"/>
            <wp:effectExtent l="0" t="0" r="0" b="0"/>
            <wp:docPr id="995" name="image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47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59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A.用图甲电路进行测量，测量误差小</w:t>
      </w:r>
    </w:p>
    <w:p w14:paraId="7C58185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B.用图乙电路进行测量，测量误差小</w:t>
      </w:r>
    </w:p>
    <w:p w14:paraId="0C49BC8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C.若用图甲电路进行测量，测量值比真实值偏大</w:t>
      </w:r>
    </w:p>
    <w:p w14:paraId="6289150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D.若用图乙电路进行测量，测量值比真实值偏大</w:t>
      </w:r>
    </w:p>
    <w:p w14:paraId="4E7CFC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96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47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97" name="image4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47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如图所示，用电流表和电压表测量电阻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的阻值，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端与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端相连时，电流表示数为4.60 mA，电压表示数为2.50 V，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端与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端相连时，电流表示数为5.20 mA，电压表示数为2.30 V，比较这两次结果，下列说法正确的是(　　)</w:t>
      </w:r>
    </w:p>
    <w:p w14:paraId="7300E6E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934720" cy="396875"/>
            <wp:effectExtent l="0" t="0" r="0" b="3175"/>
            <wp:docPr id="998" name="image4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47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E6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A.电阻的真实值更接近543 Ω，且大于543 Ω</w:t>
      </w:r>
    </w:p>
    <w:p w14:paraId="324B19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B.电阻的真实值更接近543 Ω，且小于543 Ω</w:t>
      </w:r>
    </w:p>
    <w:p w14:paraId="5D28EE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C.电阻的真实值更接近442 Ω，且大于442 Ω</w:t>
      </w:r>
    </w:p>
    <w:p w14:paraId="5A72918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D.电阻的真实值更接近442 Ω，且小于442 Ω</w:t>
      </w:r>
    </w:p>
    <w:p w14:paraId="1BB6B734">
      <w:pPr>
        <w:snapToGrid w:val="0"/>
        <w:spacing w:line="360" w:lineRule="auto"/>
      </w:pPr>
      <w:r>
        <w:drawing>
          <wp:inline distT="0" distB="0" distL="0" distR="0">
            <wp:extent cx="5329555" cy="243205"/>
            <wp:effectExtent l="0" t="0" r="4445" b="4445"/>
            <wp:docPr id="2278" name="图片 2278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图片 2278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3DD9">
      <w:pPr>
        <w:pStyle w:val="23"/>
        <w:snapToGrid w:val="0"/>
        <w:spacing w:line="360" w:lineRule="auto"/>
        <w:jc w:val="center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电流表内、外接的选择方法</w:t>
      </w:r>
    </w:p>
    <w:p w14:paraId="2287DEC0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方正黑体_GBK"/>
        </w:rPr>
        <w:t>方法一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方正楷体_GBK"/>
        </w:rPr>
        <w:t>直接比较法：当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Cambria Math" w:hAnsi="Cambria Math" w:cs="Cambria Math"/>
        </w:rPr>
        <w:t>≫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A</w:t>
      </w:r>
      <w:r>
        <w:rPr>
          <w:rFonts w:ascii="Times New Roman" w:hAnsi="Times New Roman" w:eastAsia="方正楷体_GBK"/>
        </w:rPr>
        <w:t>时，采用电流表内接法，当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Cambria Math" w:hAnsi="Cambria Math" w:cs="Cambria Math"/>
        </w:rPr>
        <w:t>≪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V</w:t>
      </w:r>
      <w:r>
        <w:rPr>
          <w:rFonts w:ascii="Times New Roman" w:hAnsi="Times New Roman" w:eastAsia="方正楷体_GBK"/>
        </w:rPr>
        <w:t>时，采用电流表外接法，可记忆为</w:t>
      </w:r>
      <w:r>
        <w:rPr>
          <w:rFonts w:asciiTheme="majorEastAsia" w:hAnsiTheme="majorEastAsia" w:eastAsiaTheme="majorEastAsia"/>
        </w:rPr>
        <w:t>“</w:t>
      </w:r>
      <w:r>
        <w:rPr>
          <w:rFonts w:ascii="Times New Roman" w:hAnsi="Times New Roman" w:eastAsia="方正楷体_GBK"/>
        </w:rPr>
        <w:t>大内小外</w:t>
      </w:r>
      <w:r>
        <w:rPr>
          <w:rFonts w:asciiTheme="majorEastAsia" w:hAnsiTheme="majorEastAsia" w:eastAsiaTheme="majorEastAsia"/>
        </w:rPr>
        <w:t>”</w:t>
      </w:r>
      <w:r>
        <w:rPr>
          <w:rFonts w:ascii="Times New Roman" w:hAnsi="Times New Roman" w:eastAsia="方正楷体_GBK"/>
        </w:rPr>
        <w:t>。</w:t>
      </w:r>
    </w:p>
    <w:p w14:paraId="628EC86C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方正黑体_GBK"/>
        </w:rPr>
        <w:t>方法二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方正楷体_GBK"/>
        </w:rPr>
        <w:t>公式计算法</w:t>
      </w:r>
    </w:p>
    <w:p w14:paraId="2CBC9FFA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方正楷体_GBK"/>
        </w:rPr>
        <w:t>当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 w:eastAsia="方正楷体_GBK"/>
          </w:rPr>
          <m:t>即</m:t>
        </m:r>
        <m:r>
          <m:rPr/>
          <w:rPr>
            <w:rFonts w:ascii="Cambria Math" w:hAnsi="Cambria Math"/>
          </w:rPr>
          <m:t>R</m:t>
        </m:r>
        <m:r>
          <m:rPr/>
          <w:rPr>
            <w:rFonts w:ascii="Cambria Math" w:hAnsi="Cambria Math"/>
            <w:vertAlign w:val="subscript"/>
          </w:rPr>
          <m:t>x</m:t>
        </m:r>
        <m:r>
          <m:rPr>
            <m:sty m:val="p"/>
          </m:rPr>
          <w:rPr>
            <w:rFonts w:ascii="Cambria Math" w:hAnsi="Cambria Math"/>
          </w:rPr>
          <m:t>&gt;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 w:eastAsia="方正楷体_GBK"/>
        </w:rPr>
        <w:t>时，用电流表内接法，</w:t>
      </w:r>
    </w:p>
    <w:p w14:paraId="41DB8130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方正楷体_GBK"/>
        </w:rPr>
        <w:t>当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/>
          </w:rPr>
          <m:t>&gt;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 w:eastAsia="方正楷体_GBK"/>
          </w:rPr>
          <m:t>即</m:t>
        </m:r>
        <m:r>
          <m:rPr/>
          <w:rPr>
            <w:rFonts w:ascii="Cambria Math" w:hAnsi="Cambria Math"/>
          </w:rPr>
          <m:t>R</m:t>
        </m:r>
        <m:r>
          <m:rPr/>
          <w:rPr>
            <w:rFonts w:ascii="Cambria Math" w:hAnsi="Cambria Math"/>
            <w:vertAlign w:val="subscript"/>
          </w:rPr>
          <m:t>x</m:t>
        </m:r>
        <m:r>
          <m:rPr>
            <m:sty m:val="p"/>
          </m:rPr>
          <w:rPr>
            <w:rFonts w:ascii="Cambria Math" w:hAnsi="Cambria Math"/>
          </w:rPr>
          <m:t>&lt;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 w:eastAsia="方正楷体_GBK"/>
        </w:rPr>
        <w:t>时，用电流表外接法，</w:t>
      </w:r>
    </w:p>
    <w:p w14:paraId="52120C58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方正楷体_GBK"/>
        </w:rPr>
        <w:t>当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 w:eastAsia="方正楷体_GBK"/>
        </w:rPr>
        <w:t>时，两种接法效果相同。</w:t>
      </w:r>
    </w:p>
    <w:p w14:paraId="08CFAAFA">
      <w:pPr>
        <w:pStyle w:val="2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方正黑体_GBK"/>
        </w:rPr>
        <w:t>方法三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方正楷体_GBK"/>
        </w:rPr>
        <w:t>试触法：适用于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Times New Roman" w:hAnsi="Times New Roman" w:eastAsia="方正楷体_GBK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V</w:t>
      </w:r>
      <w:r>
        <w:rPr>
          <w:rFonts w:ascii="Times New Roman" w:hAnsi="Times New Roman" w:eastAsia="方正楷体_GBK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A</w:t>
      </w:r>
      <w:r>
        <w:rPr>
          <w:rFonts w:ascii="Times New Roman" w:hAnsi="Times New Roman" w:eastAsia="方正楷体_GBK"/>
        </w:rPr>
        <w:t>的阻值关系不能确定的情况，如图所示，把电压表的接线端分别接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方正楷体_GBK"/>
        </w:rPr>
        <w:t>、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方正楷体_GBK"/>
        </w:rPr>
        <w:t>两点，观察两电表的示数变化：若电流表的示数变化明显，即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/>
              <w:rPr>
                <w:rFonts w:ascii="Cambria Math" w:hAnsi="Cambria Math"/>
              </w:rPr>
              <m:t>|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/>
          </w:rPr>
          <m:t>&gt;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/>
              <w:rPr>
                <w:rFonts w:ascii="Cambria Math" w:hAnsi="Cambria Math"/>
              </w:rPr>
              <m:t>|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方正楷体_GBK"/>
        </w:rPr>
        <w:t>，说明电压表的分流对电路影响大，表明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Times New Roman" w:hAnsi="Times New Roman" w:eastAsia="方正楷体_GBK"/>
        </w:rPr>
        <w:t>较大，应选用电流表内接法。反之，应选用电流表外接法。</w:t>
      </w:r>
    </w:p>
    <w:p w14:paraId="114B8852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>
        <w:drawing>
          <wp:inline distT="0" distB="0" distL="0" distR="0">
            <wp:extent cx="974090" cy="467995"/>
            <wp:effectExtent l="0" t="0" r="0" b="8255"/>
            <wp:docPr id="7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C68CE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4D1150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D3C7C"/>
    <w:rsid w:val="005F127C"/>
    <w:rsid w:val="00606592"/>
    <w:rsid w:val="006C537E"/>
    <w:rsid w:val="006D6693"/>
    <w:rsid w:val="006E28A5"/>
    <w:rsid w:val="00720332"/>
    <w:rsid w:val="007D3E4D"/>
    <w:rsid w:val="007D3E90"/>
    <w:rsid w:val="007F1435"/>
    <w:rsid w:val="007F5E4B"/>
    <w:rsid w:val="0081363D"/>
    <w:rsid w:val="00836A28"/>
    <w:rsid w:val="00842AB6"/>
    <w:rsid w:val="00843D10"/>
    <w:rsid w:val="00845057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2CB7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4.xml"/><Relationship Id="rId21" Type="http://schemas.openxmlformats.org/officeDocument/2006/relationships/customXml" Target="../customXml/item3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D9F04E2-FAD0-4E3E-946C-3868FAE27544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2246</Words>
  <Characters>3297</Characters>
  <Lines>28</Lines>
  <Paragraphs>7</Paragraphs>
  <TotalTime>102</TotalTime>
  <ScaleCrop>false</ScaleCrop>
  <LinksUpToDate>false</LinksUpToDate>
  <CharactersWithSpaces>3421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2025-10-11T15:28:07Z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20C8F6DD79444A80ACEBD045B06FCC1E_13</vt:lpwstr>
  </property>
</Properties>
</file>